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29064">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3B6ECEB">
      <w:pPr>
        <w:spacing w:line="540" w:lineRule="exact"/>
        <w:jc w:val="center"/>
        <w:rPr>
          <w:rFonts w:ascii="方正小标宋_GBK" w:hAnsi="华文中宋" w:eastAsia="方正小标宋_GBK" w:cs="宋体"/>
          <w:b/>
          <w:kern w:val="0"/>
          <w:sz w:val="48"/>
          <w:szCs w:val="48"/>
        </w:rPr>
      </w:pPr>
    </w:p>
    <w:p w14:paraId="47677012">
      <w:pPr>
        <w:spacing w:line="540" w:lineRule="exact"/>
        <w:jc w:val="center"/>
        <w:rPr>
          <w:rFonts w:ascii="方正小标宋_GBK" w:hAnsi="华文中宋" w:eastAsia="方正小标宋_GBK" w:cs="宋体"/>
          <w:b/>
          <w:kern w:val="0"/>
          <w:sz w:val="48"/>
          <w:szCs w:val="48"/>
        </w:rPr>
      </w:pPr>
    </w:p>
    <w:p w14:paraId="13EB3CB2">
      <w:pPr>
        <w:spacing w:line="540" w:lineRule="exact"/>
        <w:jc w:val="center"/>
        <w:rPr>
          <w:rFonts w:ascii="方正小标宋_GBK" w:hAnsi="华文中宋" w:eastAsia="方正小标宋_GBK" w:cs="宋体"/>
          <w:b/>
          <w:kern w:val="0"/>
          <w:sz w:val="48"/>
          <w:szCs w:val="48"/>
        </w:rPr>
      </w:pPr>
    </w:p>
    <w:p w14:paraId="4BDC708C">
      <w:pPr>
        <w:spacing w:line="540" w:lineRule="exact"/>
        <w:jc w:val="center"/>
        <w:rPr>
          <w:rFonts w:ascii="方正小标宋_GBK" w:hAnsi="华文中宋" w:eastAsia="方正小标宋_GBK" w:cs="宋体"/>
          <w:b/>
          <w:kern w:val="0"/>
          <w:sz w:val="48"/>
          <w:szCs w:val="48"/>
        </w:rPr>
      </w:pPr>
    </w:p>
    <w:p w14:paraId="0C3241C4">
      <w:pPr>
        <w:spacing w:line="540" w:lineRule="exact"/>
        <w:jc w:val="center"/>
        <w:rPr>
          <w:rFonts w:ascii="方正小标宋_GBK" w:hAnsi="华文中宋" w:eastAsia="方正小标宋_GBK" w:cs="宋体"/>
          <w:b/>
          <w:kern w:val="0"/>
          <w:sz w:val="48"/>
          <w:szCs w:val="48"/>
        </w:rPr>
      </w:pPr>
    </w:p>
    <w:p w14:paraId="3727FE59">
      <w:pPr>
        <w:spacing w:line="540" w:lineRule="exact"/>
        <w:jc w:val="center"/>
        <w:rPr>
          <w:rFonts w:ascii="方正小标宋_GBK" w:hAnsi="华文中宋" w:eastAsia="方正小标宋_GBK" w:cs="宋体"/>
          <w:b/>
          <w:kern w:val="0"/>
          <w:sz w:val="48"/>
          <w:szCs w:val="48"/>
        </w:rPr>
      </w:pPr>
    </w:p>
    <w:p w14:paraId="0616892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3D701BC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A6F8608">
      <w:pPr>
        <w:spacing w:line="540" w:lineRule="exact"/>
        <w:jc w:val="center"/>
        <w:rPr>
          <w:rFonts w:ascii="华文中宋" w:hAnsi="华文中宋" w:eastAsia="华文中宋" w:cs="宋体"/>
          <w:b/>
          <w:kern w:val="0"/>
          <w:sz w:val="52"/>
          <w:szCs w:val="52"/>
        </w:rPr>
      </w:pPr>
    </w:p>
    <w:p w14:paraId="5CD8DECC">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0D0386A1">
      <w:pPr>
        <w:spacing w:line="700" w:lineRule="exact"/>
        <w:jc w:val="left"/>
        <w:rPr>
          <w:rFonts w:hint="eastAsia" w:hAnsi="宋体" w:eastAsia="仿宋_GB2312" w:cs="宋体"/>
          <w:kern w:val="0"/>
          <w:sz w:val="36"/>
          <w:szCs w:val="36"/>
        </w:rPr>
      </w:pPr>
    </w:p>
    <w:p w14:paraId="492FB7A3">
      <w:pPr>
        <w:spacing w:line="700" w:lineRule="exact"/>
        <w:jc w:val="left"/>
        <w:rPr>
          <w:rFonts w:hint="eastAsia" w:hAnsi="宋体" w:eastAsia="仿宋_GB2312" w:cs="宋体"/>
          <w:kern w:val="0"/>
          <w:sz w:val="36"/>
          <w:szCs w:val="36"/>
        </w:rPr>
      </w:pPr>
    </w:p>
    <w:p w14:paraId="6CEB1FD4">
      <w:pPr>
        <w:spacing w:line="700" w:lineRule="exact"/>
        <w:jc w:val="left"/>
        <w:rPr>
          <w:rFonts w:hint="eastAsia" w:hAnsi="宋体" w:eastAsia="仿宋_GB2312" w:cs="宋体"/>
          <w:kern w:val="0"/>
          <w:sz w:val="36"/>
          <w:szCs w:val="36"/>
          <w:lang w:eastAsia="zh-CN"/>
        </w:rPr>
      </w:pPr>
    </w:p>
    <w:p w14:paraId="6875D68B">
      <w:pPr>
        <w:spacing w:line="700" w:lineRule="exact"/>
        <w:jc w:val="left"/>
        <w:rPr>
          <w:rFonts w:hint="eastAsia" w:hAnsi="宋体" w:eastAsia="仿宋_GB2312" w:cs="宋体"/>
          <w:kern w:val="0"/>
          <w:sz w:val="36"/>
          <w:szCs w:val="36"/>
          <w:lang w:eastAsia="zh-CN"/>
        </w:rPr>
      </w:pPr>
    </w:p>
    <w:p w14:paraId="390F67F9">
      <w:pPr>
        <w:spacing w:line="700" w:lineRule="exact"/>
        <w:jc w:val="left"/>
        <w:rPr>
          <w:rFonts w:hint="eastAsia" w:hAnsi="宋体" w:eastAsia="仿宋_GB2312" w:cs="宋体"/>
          <w:kern w:val="0"/>
          <w:sz w:val="36"/>
          <w:szCs w:val="36"/>
          <w:lang w:eastAsia="zh-CN"/>
        </w:rPr>
      </w:pPr>
    </w:p>
    <w:p w14:paraId="4B180F0B">
      <w:pPr>
        <w:spacing w:line="700" w:lineRule="exact"/>
        <w:jc w:val="left"/>
        <w:rPr>
          <w:rFonts w:hint="eastAsia" w:hAnsi="宋体" w:eastAsia="仿宋_GB2312" w:cs="宋体"/>
          <w:kern w:val="0"/>
          <w:sz w:val="36"/>
          <w:szCs w:val="36"/>
          <w:lang w:eastAsia="zh-CN"/>
        </w:rPr>
      </w:pPr>
    </w:p>
    <w:p w14:paraId="7D3CE8D5">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克州广播电视台</w:t>
      </w:r>
    </w:p>
    <w:p w14:paraId="54673C52">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66B9158A">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1EB6A3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5253A03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宣传习近平新时代中国特色社会主义思想，宣传党的理论和路线方针政策，宣传以习近平同志为核心的党中央治疆方略、特别是社会稳定和长治久安总目标；围绕自治州党委和自治州人民政府中心工作，统筹组织重大宣传报道；为自治州党委和自治州人民政府提供内参报道、舆情信息；组织广播电视节目创作生产，制作人民群众喜闻乐见的精品节目，确保安全播出；坚持正确政治方向、舆论导向和价值取向，引导社会热点，加强和改进舆论监督，守好意识形态阵地；打造自主可控、有影响力的新媒体传播平台，推动媒体融合发展；加强传播能力建设，讲好中国故事的新疆篇章；完成自治州党委和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克州广播电视台单位无下属预算单位，下设11个处室，分别是：办公室、总编室、新闻中心、专题文艺部、编译部、播音主持中心、融媒体中心、技术维护部、播控中心、人事教育中心、广告部。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克州广播电视台单位编制数80人，在职93人，其中行政编0人，事业编90人，退休1人，调走2人。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(1)不断加强自身建设，增强整体工作合力</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长抓教育，短抓培训”的工作思路，采取“走出去”和“引进来”的方式，加大干部职工的培训力度，先后选派4名干部到内地培训交流，1名干部参加本地消防知识培训。认真落实实录制和绩效考核制，对部分干部进行轮岗交流和兼职学习，对困难职工进行慰问，有力调动了大家的工作积极性。今年4人纳入“帕米尔3123人才计划”，12人入选克州职称评审专家库，对40名技术干部进行了职称岗位聘用。</w:t>
      </w:r>
      <w:r>
        <w:rPr>
          <w:rFonts w:hint="eastAsia" w:ascii="仿宋_GB2312" w:hAnsi="宋体" w:eastAsia="仿宋_GB2312"/>
          <w:b w:val="0"/>
          <w:bCs/>
          <w:sz w:val="32"/>
          <w:szCs w:val="32"/>
        </w:rPr>
        <w:cr/>
      </w:r>
      <w:r>
        <w:rPr>
          <w:rFonts w:hint="eastAsia" w:ascii="仿宋_GB2312" w:hAnsi="宋体" w:eastAsia="仿宋_GB2312"/>
          <w:b w:val="0"/>
          <w:bCs/>
          <w:sz w:val="32"/>
          <w:szCs w:val="32"/>
        </w:rPr>
        <w:t>　　(2)深入开展党史学习教育，坚守初心担当使命</w:t>
      </w:r>
      <w:r>
        <w:rPr>
          <w:rFonts w:hint="eastAsia" w:ascii="仿宋_GB2312" w:hAnsi="宋体" w:eastAsia="仿宋_GB2312"/>
          <w:b w:val="0"/>
          <w:bCs/>
          <w:sz w:val="32"/>
          <w:szCs w:val="32"/>
        </w:rPr>
        <w:cr/>
      </w:r>
      <w:r>
        <w:rPr>
          <w:rFonts w:hint="eastAsia" w:ascii="仿宋_GB2312" w:hAnsi="宋体" w:eastAsia="仿宋_GB2312"/>
          <w:b w:val="0"/>
          <w:bCs/>
          <w:sz w:val="32"/>
          <w:szCs w:val="32"/>
        </w:rPr>
        <w:t>　　深入开展</w:t>
      </w:r>
      <w:r>
        <w:rPr>
          <w:rFonts w:hint="eastAsia" w:ascii="仿宋_GB2312" w:hAnsi="宋体" w:eastAsia="仿宋_GB2312"/>
          <w:b w:val="0"/>
          <w:bCs/>
          <w:sz w:val="32"/>
          <w:szCs w:val="32"/>
          <w:lang w:eastAsia="zh-CN"/>
        </w:rPr>
        <w:t>党史学习教育</w:t>
      </w:r>
      <w:r>
        <w:rPr>
          <w:rFonts w:hint="eastAsia" w:ascii="仿宋_GB2312" w:hAnsi="宋体" w:eastAsia="仿宋_GB2312"/>
          <w:b w:val="0"/>
          <w:bCs/>
          <w:sz w:val="32"/>
          <w:szCs w:val="32"/>
        </w:rPr>
        <w:t>，按照学史明理、学史增信、学史崇德、学史力行的目标要求，学党史、悟思想、办实事、开新局，深入学习习近平总书记在党史学习教育动员大会上的重要讲话精神，认真研读《论中国共产党历史》等必学篇目和选学内容，广泛开展“党旗映天山”“讲党史、颂经典”“永远跟党走”等活动，从党史中感悟初心使命，担当理想信念。</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参观红色教育基地2次，班子成员讲党课4次，重温入党誓词2次，举办读书班6次，举行党史知识测试4次，参加“四微”活动200余人次。结合党史教育，对30多项规章制度进行了修改完善，使其更具操作性、科学性。扎实开展“我为群众办实事”系列活动，并同“访惠聚”“民族团结一家亲”团结关爱户帮扶解困等结合起来，切实解决群众的关切事，为群众办实事好事90余件，进一步密切了党群干群关系。</w:t>
      </w:r>
      <w:r>
        <w:rPr>
          <w:rFonts w:hint="eastAsia" w:ascii="仿宋_GB2312" w:hAnsi="宋体" w:eastAsia="仿宋_GB2312"/>
          <w:b w:val="0"/>
          <w:bCs/>
          <w:sz w:val="32"/>
          <w:szCs w:val="32"/>
        </w:rPr>
        <w:cr/>
      </w:r>
      <w:r>
        <w:rPr>
          <w:rFonts w:hint="eastAsia" w:ascii="仿宋_GB2312" w:hAnsi="宋体" w:eastAsia="仿宋_GB2312"/>
          <w:b w:val="0"/>
          <w:bCs/>
          <w:sz w:val="32"/>
          <w:szCs w:val="32"/>
        </w:rPr>
        <w:t>　　（3）围绕中心服务大局，深入开展宣传报道</w:t>
      </w:r>
      <w:r>
        <w:rPr>
          <w:rFonts w:hint="eastAsia" w:ascii="仿宋_GB2312" w:hAnsi="宋体" w:eastAsia="仿宋_GB2312"/>
          <w:b w:val="0"/>
          <w:bCs/>
          <w:sz w:val="32"/>
          <w:szCs w:val="32"/>
        </w:rPr>
        <w:cr/>
      </w:r>
      <w:r>
        <w:rPr>
          <w:rFonts w:hint="eastAsia" w:ascii="仿宋_GB2312" w:hAnsi="宋体" w:eastAsia="仿宋_GB2312"/>
          <w:b w:val="0"/>
          <w:bCs/>
          <w:sz w:val="32"/>
          <w:szCs w:val="32"/>
        </w:rPr>
        <w:t>　　为丰富电视荧屏，讲好新时代克州故事，不断满足全州各族群众日益增长的精神文化需求，开辟《村里人村里事》《最美克州人》《健康365》《克州行—带你看克州》等4个栏目，已播出35期。拍摄制作《奋斗新征程担当新使命》等各类汇报片宣传片20余部、民生短视频30余部、党群和政法系统快闪10余部，播放各类公益短片、片花、口号100余个、公益广告75000余条，各类纪录片、电视剧、动画片等60部800余集。全场录制克州庆祝建党100周年“七一”晚会、克州学党史知识竞赛等各类大型活动30余场次。收集整理记录小康工程素材4000余条。</w:t>
      </w:r>
      <w:r>
        <w:rPr>
          <w:rFonts w:hint="eastAsia" w:ascii="仿宋_GB2312" w:hAnsi="宋体" w:eastAsia="仿宋_GB2312"/>
          <w:b w:val="0"/>
          <w:bCs/>
          <w:sz w:val="32"/>
          <w:szCs w:val="32"/>
        </w:rPr>
        <w:cr/>
      </w:r>
      <w:r>
        <w:rPr>
          <w:rFonts w:hint="eastAsia" w:ascii="仿宋_GB2312" w:hAnsi="宋体" w:eastAsia="仿宋_GB2312"/>
          <w:b w:val="0"/>
          <w:bCs/>
          <w:sz w:val="32"/>
          <w:szCs w:val="32"/>
        </w:rPr>
        <w:t>　　（4）严把审读基础关，把好方向守好阵地</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审读把关工作，建立审读工作领导小组，成立审读室，充实审读人员力量，健全完善三审三校一读一查和重播重审等审读制度，大力推行四级审读、全员审读措施，实现对电视节目、广播节目、微信公众号等推送内容的文字、声音、画面的全要素审读，确保了导向正确、图文准确。</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，审读各类新闻6900余条、电视剧2800集、自办栏目100多期、各类通告、公告、广告、宣传口号20余条，公众号推送内容1854条。</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广播电视台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（2）收支管理：领导层是本单位收支业务管理的决策部门，负责审批单位收支业务等事项。涉及“三重一大”事项，根据《克州广播电视台集体决策制度》和《克州广播电视台项目管理办法》办理。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广播电视台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广播电视台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2,367.66万元，项目支出安排资金668.34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本单位2021年度项目支出666.73万元，涉及项目数量8个，其中：重点项目支出31.20万元，涉及重点项目数量1个，重点项目支出与部门项目总支出的比率为4.68%。</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2021年度本单位年初批复部门预算资金总额为1,292.79万元，年中调增预算总额为1,743.21万元，调整后全年预算资金总额为3,036.00万元。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2021年度本单位部门整体支出资金总额为2,339.34万元，预算执行率为77.05%，预算调整率为134.84%。</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年初政府采购预算数为123.48万元，实际政府采购数为150.69万元，政府采购执行率为122.04%。</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753C772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B02DF8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为加强我单位预算管理、规范财务行为我单位制定了《克州广播电视台内部控制规范》《克州广播电视台项目管理规范》等资金管理制度，已建立制度均健全且有效运行。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2021年度我单位基本支出预算总额为2,367.66万元，其中人员经费1,336.81万元，公用经费1,030.85万元。实际执行总额为1,672.61万元，预算执行率70.64%。由于年中财政将以前年度结转结余资金安排至我单位公用经费预算中，故我单位年终结余公用经费695.05万元。改进措施：根据财政安排调整。</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5.75万元，比上年减少2.37万元，减少41.22%，主要原因是：按照厉行节约的要求，缩减公务用车运行费。其中，因公出国（境）费支出0万元；公务用车购置及运行维护费支出5.75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与年初预算数相比情况：一般公共预算“三公”经费支出年初预算数9.5万元，预算执行数为5.75万元，执行率为60.53%，主要原因是：按照厉行节约的要求，2021年缩减减公务用车运行费，因此支出随之减少。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2021年度本单位项目支出预算总额为668.34万元，实际执行资金总额为666.73万元，预算执行率为99.76%。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2021年度预算安排专项资金631.22万元，实际支出资金631.22万元，预算执行率为100%，涉及项目个数6个，专项经费按照政策要求实行专款专用，不存在截留、挤占、挪用、虚列支出。各项目详细执行情况如下：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2021年广电覆盖工程项目项目:全年预算数为31.20万元，预算执行数为31.20万元，预算执行率为100%。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为民办实事经费及第一书记工作经费项目:全年预算数为16.72万元，预算执行数为16.72</w:t>
      </w:r>
      <w:r>
        <w:rPr>
          <w:rFonts w:hint="eastAsia" w:ascii="仿宋_GB2312" w:hAnsi="宋体" w:eastAsia="仿宋_GB2312"/>
          <w:b w:val="0"/>
          <w:bCs/>
          <w:sz w:val="32"/>
          <w:szCs w:val="32"/>
        </w:rPr>
        <w:tab/>
      </w:r>
      <w:r>
        <w:rPr>
          <w:rFonts w:hint="eastAsia" w:ascii="仿宋_GB2312" w:hAnsi="宋体" w:eastAsia="仿宋_GB2312"/>
          <w:b w:val="0"/>
          <w:bCs/>
          <w:sz w:val="32"/>
          <w:szCs w:val="32"/>
        </w:rPr>
        <w:t>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广电功率经费项目:全年预算数为58.78万元，预算执行数为58.78万元，预算执行率为100%。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大楼质保金附属工程款项目:全年预算数为322.38万元，预算执行数为322.38万元，预算执行率为100%。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双回路项目:全年预算数为56.43万元，预算执行数为56.43万元，预算执行率为100%。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专业设备购置项目:全年预算数为145.71万元，预算执行数为145.71万元，预算执行率为100%。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2021年度预算安排本级财力资金37.12万元，实际支出资金35.52万元，预算执行率为95.68%%，涉及项目个数2个，各项目详细执行情况如下：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5.4万元，预算执行率为77.10%。偏差原因：由于数量指标“维修维护公共设施”年初任务量设置过低，导致维修维护公共设施成本未能形成支出。改进措施：督促项目管理人员年初设置合理的任务计划，制定详细的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电视工作经费项目:全年预算数为30.12万元，预算执行数为30.12万元，预算执行率为100%。</w:t>
      </w:r>
    </w:p>
    <w:p w14:paraId="5677316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8A8480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关于提前安排中央补助地方公共文化服务体系建设专项资金20202年预算通知》新财教〔2019〕236号、《关于提前下达2020年自治区广播电视无线覆盖运行维护经费通知》新财教〔2019〕246号、《关于提前安排中央补助地方公共文化服务体系建设专项资金20202年预算通知》克财教〔2020〕15号、《关于提前下达2021年中央补助地方公共文化服务体系建设补助资金（一般项目、绩效奖励）预算的通知》新财教〔2020〕206号、关于提前下达2021年中央补助地方公共文化服务体系建设补助资金预算的通知》新财教〔2020〕207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6项专项，总投入共计631.22万元，资金全部到位，实际使用资金631.22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①制订《克州广播电视台经费使用规范》,为合理合规使用经费提供了有力的制度保障。同时,建立区委组织部项目经费内部管控制度，并严格按要求落实。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成本节约：我单位6个项目成本均未超预算，预算执行率达100%。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我单位共有6个项目，项目实施进度已达到100%。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2021年广电覆盖工程项目项目:主要用于保障完整的转播好电视节目，通过该项目实施确保机房设备正常运转，做到“满功率、满调幅度、满时间”的三满播出。</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主要用于驻村工作队开展驻村工作任务。通过该项目的实施，解决群众生产生活中的实际困难，加强民族团结，增进民族互信，突出现代文化引领，关心关爱困难群众，实现维护社会稳定和长治久安总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广电功率经费项目:主要用于保障完整的转播好中央和自治区电视节目，通过该项目实施确保机房设备正常运转，做到“满功率、满调幅度、满时间”的三满播出。</w:t>
      </w:r>
      <w:r>
        <w:rPr>
          <w:rFonts w:hint="eastAsia" w:ascii="仿宋_GB2312" w:hAnsi="宋体" w:eastAsia="仿宋_GB2312"/>
          <w:b w:val="0"/>
          <w:bCs/>
          <w:sz w:val="32"/>
          <w:szCs w:val="32"/>
        </w:rPr>
        <w:cr/>
      </w:r>
      <w:r>
        <w:rPr>
          <w:rFonts w:hint="eastAsia" w:ascii="仿宋_GB2312" w:hAnsi="宋体" w:eastAsia="仿宋_GB2312"/>
          <w:b w:val="0"/>
          <w:bCs/>
          <w:sz w:val="32"/>
          <w:szCs w:val="32"/>
        </w:rPr>
        <w:t>　　大楼质保金附属工程款项目:主要用于支付大楼质保金及附属工程款，通过该项目实施改善我单位制作中心、新闻演播室、综艺演播室等功能区，汉、柯、维三种语言高标清播出系统，标志着克州广播电视台正式迈入电视高清化时代。</w:t>
      </w:r>
      <w:r>
        <w:rPr>
          <w:rFonts w:hint="eastAsia" w:ascii="仿宋_GB2312" w:hAnsi="宋体" w:eastAsia="仿宋_GB2312"/>
          <w:b w:val="0"/>
          <w:bCs/>
          <w:sz w:val="32"/>
          <w:szCs w:val="32"/>
        </w:rPr>
        <w:cr/>
      </w:r>
      <w:r>
        <w:rPr>
          <w:rFonts w:hint="eastAsia" w:ascii="仿宋_GB2312" w:hAnsi="宋体" w:eastAsia="仿宋_GB2312"/>
          <w:b w:val="0"/>
          <w:bCs/>
          <w:sz w:val="32"/>
          <w:szCs w:val="32"/>
        </w:rPr>
        <w:t>　　双回路项目:主要用于支付双回路电力线路改造项目，通过该项目实施改善系统因外电停电引发电视节目无法播出，相关设备不同程度损坏的现象。在原有供电线路的基础上新增设一路供电线路，以实现双回路不间断供电，确保中央、自治区和克州广播电视节目的安全播出。</w:t>
      </w:r>
      <w:r>
        <w:rPr>
          <w:rFonts w:hint="eastAsia" w:ascii="仿宋_GB2312" w:hAnsi="宋体" w:eastAsia="仿宋_GB2312"/>
          <w:b w:val="0"/>
          <w:bCs/>
          <w:sz w:val="32"/>
          <w:szCs w:val="32"/>
        </w:rPr>
        <w:cr/>
      </w:r>
      <w:r>
        <w:rPr>
          <w:rFonts w:hint="eastAsia" w:ascii="仿宋_GB2312" w:hAnsi="宋体" w:eastAsia="仿宋_GB2312"/>
          <w:b w:val="0"/>
          <w:bCs/>
          <w:sz w:val="32"/>
          <w:szCs w:val="32"/>
        </w:rPr>
        <w:t>　　专业设备购置项目:主要用于支付新闻一线记者、翻译、编辑所使用的拍摄、采集、制作、储存设备采购，通过该项目实施改善我单位设备老化严重、性能不足、故障率高等诸多问题，让克州广播电视台各频道新闻栏目具有更广泛的传播范围和能力，以此作为落实自治区媒体深度融合相关工作的着力点和突破口。</w:t>
      </w:r>
    </w:p>
    <w:p w14:paraId="17EED72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BCA615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本单位2021年初资产合计数为7,050.74万元，年末资产合计数为7541.6万元。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截止本年度固定资产账面净值588.28万元，年末实际在用固定资产588.28万元，固定资产利用率为100%。</w:t>
      </w:r>
    </w:p>
    <w:p w14:paraId="2ED78F6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4AFF372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部门单位整体支出共设置一级指标3个，二级指标7个，三级指标14个，其中已完成三级指标12个，指标完成率为98.96%。</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保障人员人数指标，预期指标是等于93人，实际完成值是93人，指标完成率是100%，达到预期目标。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保障车辆数指标，预期指标是等于4辆，实际完成值是4人，指标完成率是100%，达到预期目标。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播放稿件数量指标，预期指标是等于7665条，实际完成值是7665条，指标完成率是100%，达到预期目标。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数量指标共计3个，完成3个，达到预期目标，数量指标完成。质量指标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时效指标共计2个，完成2个，达达到预期目标，数量指标完成。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区域覆盖率指标，预期指标是大于等于95%，实际完成值是95%，指标完成率是100%，达到质量提升及标准。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绩效考核合格率指标，预期指标是大于等于95%，实际完成值是95%，指标完成率是100%，达到质量提升及标准。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人员经费指标，预期指标是等于1095.01万元，实际完成值是1095.01万元，指标完成率是100%，达到成本控制及改善目标。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日常公用经费指标，预期指标是等于77.68万元，实际完成值是68.8万元，指标完成率是88.57%，达到成本控制及改善目标。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是等于120.1万元，实际完成值是118.5万元，指标完成率是98.67%，偏差原因：由于数量指标“维修维护公共设施”年初任务量设置过低，导致维修维护公共设施成本未能形成支出。改进措施：督促项目管理人员年初设置合理的任务计划，制定详细的工作计划。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成本指标共计3个，完成1个，达到成本控制及改善目标，成本指标完成。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持续提升节目质量指标，预期指标是有效提升，实际完成值是有效提升，指标完成率是100%，达到单位履职能力对社会带来的影响预期目标。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提高信息知识传播指标，预期指标是有效提高，实际完成值是有效提高，指标完成率是100%，达到单位履职能力对社会带来的影响预期目标。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社会效益指标共计2个，完成2个，达到单位履职能力对社会带来的影响预期目标，社会效益指标完成。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丰富广大群众的精神文化生活指标，预期指标是长期，实际完成值是长期，指标完成率是100%，实现部门绩效长效机制建设，提高工作效率目标。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14:paraId="49563DC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2EAD79E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0AFAEBA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4C93A1A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30343E71"/>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9894A78"/>
    <w:rsid w:val="33765C8F"/>
    <w:rsid w:val="345F2ECD"/>
    <w:rsid w:val="504967AC"/>
    <w:rsid w:val="51C70EA9"/>
    <w:rsid w:val="54F842B6"/>
    <w:rsid w:val="656071F2"/>
    <w:rsid w:val="6BF1756B"/>
    <w:rsid w:val="6F5E1AA3"/>
    <w:rsid w:val="757E5B9F"/>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11400</Words>
  <Characters>12043</Characters>
  <Lines>2</Lines>
  <Paragraphs>1</Paragraphs>
  <TotalTime>0</TotalTime>
  <ScaleCrop>false</ScaleCrop>
  <LinksUpToDate>false</LinksUpToDate>
  <CharactersWithSpaces>12370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2025-07-31T03:22:29Z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